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97" w:rsidRPr="003231B6" w:rsidRDefault="00785297" w:rsidP="003231B6">
      <w:pPr>
        <w:spacing w:after="0" w:line="240" w:lineRule="auto"/>
        <w:jc w:val="right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Приложение №1</w:t>
      </w:r>
    </w:p>
    <w:p w:rsidR="00785297" w:rsidRDefault="00785297" w:rsidP="003231B6">
      <w:pPr>
        <w:spacing w:after="0" w:line="240" w:lineRule="auto"/>
        <w:jc w:val="right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к Дополнительному Соглашению от 07.02.2025</w:t>
      </w:r>
    </w:p>
    <w:p w:rsidR="003231B6" w:rsidRPr="003231B6" w:rsidRDefault="003231B6" w:rsidP="003231B6">
      <w:pPr>
        <w:spacing w:after="0" w:line="240" w:lineRule="auto"/>
        <w:jc w:val="right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к Приложению 2 Соглашения о тарифах на 2025 год</w:t>
      </w:r>
      <w:bookmarkStart w:id="0" w:name="_GoBack"/>
      <w:bookmarkEnd w:id="0"/>
    </w:p>
    <w:p w:rsidR="00785297" w:rsidRPr="003231B6" w:rsidRDefault="00785297" w:rsidP="003231B6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E04955" w:rsidRPr="003231B6" w:rsidRDefault="00E04955" w:rsidP="003231B6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3231B6">
        <w:rPr>
          <w:rFonts w:eastAsia="Times New Roman"/>
          <w:b/>
          <w:sz w:val="27"/>
          <w:szCs w:val="27"/>
          <w:lang w:eastAsia="ru-RU"/>
        </w:rPr>
        <w:t xml:space="preserve">12. Порядок оплаты случаев госпитализации с применением </w:t>
      </w:r>
    </w:p>
    <w:p w:rsidR="00E04955" w:rsidRPr="003231B6" w:rsidRDefault="00E04955" w:rsidP="003231B6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3231B6">
        <w:rPr>
          <w:rFonts w:eastAsia="Times New Roman"/>
          <w:b/>
          <w:sz w:val="27"/>
          <w:szCs w:val="27"/>
          <w:lang w:eastAsia="ru-RU"/>
        </w:rPr>
        <w:t>коэффициента сложности лечения пациента.</w:t>
      </w:r>
    </w:p>
    <w:p w:rsidR="00E04955" w:rsidRPr="003231B6" w:rsidRDefault="00E04955" w:rsidP="003231B6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E04955" w:rsidRPr="003231B6" w:rsidRDefault="00E04955" w:rsidP="003231B6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</w:pPr>
      <w:r w:rsidRPr="003231B6">
        <w:rPr>
          <w:rFonts w:ascii="Times New Roman" w:hAnsi="Times New Roman" w:cs="Times New Roman"/>
          <w:sz w:val="27"/>
          <w:szCs w:val="27"/>
        </w:rPr>
        <w:t xml:space="preserve">Коэффициент сложности лечения пациента (КСЛП) </w:t>
      </w:r>
      <w:r w:rsidRPr="003231B6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учитывает более высокий уровень затрат на оказание медицинской помощи пациентам в отдельных случаях.</w:t>
      </w:r>
    </w:p>
    <w:p w:rsidR="00E04955" w:rsidRPr="003231B6" w:rsidRDefault="00E04955" w:rsidP="003231B6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</w:pPr>
      <w:r w:rsidRPr="003231B6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КСЛП устанавливается на основании объективных критериев, перечень которых приводится в тарифном соглашении и в обязательном порядке отражается в реестрах счетов.</w:t>
      </w:r>
    </w:p>
    <w:p w:rsidR="00E04955" w:rsidRPr="003231B6" w:rsidRDefault="00E04955" w:rsidP="003231B6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</w:pPr>
      <w:r w:rsidRPr="003231B6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 xml:space="preserve">В случае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 </w:t>
      </w:r>
    </w:p>
    <w:p w:rsidR="00E04955" w:rsidRPr="003231B6" w:rsidRDefault="00E04955" w:rsidP="003231B6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</w:pPr>
      <w:r w:rsidRPr="003231B6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При отсутствии оснований применения КСЛП, предусмотренных Приложением 14, значение параметра КСЛП при расчете стоимости законченного случая лечения принимается равным 0.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Размеры коэффициентов сложности лечения пациента (КСЛП) устанавливаются  Приложением № 14 к Соглашению о тарифах при оказании медицинской помощи в следующих случаях: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12.1. 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детей-инвалидов, дете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й-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 xml:space="preserve"> инвалидов, которые в соответствии с индивидуальной программой реабилитации или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абилитации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или) ориентации, и (или) общению, и (или) обучению, и (или) контролю своего поведения,- независимо от возраста ребенка-инвалида), за исключением случаев, к которым применяется КСЛП, предусмотренный пунктом 12.2.настоящего раздела.</w:t>
      </w:r>
      <w:proofErr w:type="gramEnd"/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12.2. 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которые в соответствии с индивидуальной программой реабилитации или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абилитации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ребенк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а-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 xml:space="preserve"> 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а-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 xml:space="preserve"> инвалида), получающих медицинскую помощь по профилю «детская онкология» и (или) «гематология».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В случае совместного пребывания ребенка и его законного представителя: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lastRenderedPageBreak/>
        <w:t>12.2.1. Спальное место законного представителя ребенка оборудуется кроватью в комплекте с матрацем, одеялом, подушкой, постельным бельем (двумя простынями и наволочкой) и полотенцем.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Площадь на одну койку ребенка (с круглосуточным пребыванием законного представителя) должна составлять не менее 10 м</w:t>
      </w:r>
      <w:proofErr w:type="gramStart"/>
      <w:r w:rsidRPr="003231B6">
        <w:rPr>
          <w:rFonts w:eastAsia="Times New Roman"/>
          <w:sz w:val="27"/>
          <w:szCs w:val="27"/>
          <w:vertAlign w:val="superscript"/>
          <w:lang w:eastAsia="ru-RU"/>
        </w:rPr>
        <w:t>2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>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12.2.2. Законный представитель ребенка обеспечивается питанием, столовой посудой и столовыми приборами на время приема пищи (тарелкой, кружкой, ложкой). Сведения о количестве законных представителей, состоящих на питании, отражаются в форме №22-МЗ</w:t>
      </w:r>
      <w:r w:rsidRPr="003231B6">
        <w:rPr>
          <w:rStyle w:val="a5"/>
          <w:sz w:val="27"/>
          <w:szCs w:val="27"/>
        </w:rPr>
        <w:footnoteReference w:id="1"/>
      </w:r>
      <w:r w:rsidRPr="003231B6">
        <w:rPr>
          <w:rFonts w:eastAsia="Times New Roman"/>
          <w:sz w:val="27"/>
          <w:szCs w:val="27"/>
          <w:lang w:eastAsia="ru-RU"/>
        </w:rPr>
        <w:t xml:space="preserve">. 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12.3. 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12.4. Развертывание индивидуального поста.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3231B6">
        <w:rPr>
          <w:sz w:val="27"/>
          <w:szCs w:val="27"/>
          <w:lang w:eastAsia="ru-RU"/>
        </w:rPr>
        <w:t>12.5. Наличие у пациентов тяжелой сопутствующей патологии, осложнений заболеваний, влияющих на сложность лечения пациента (Таблица 8):</w:t>
      </w:r>
    </w:p>
    <w:p w:rsidR="00E04955" w:rsidRPr="003231B6" w:rsidRDefault="00E04955" w:rsidP="003231B6">
      <w:pPr>
        <w:spacing w:after="0" w:line="240" w:lineRule="auto"/>
        <w:ind w:firstLine="567"/>
        <w:jc w:val="right"/>
        <w:rPr>
          <w:szCs w:val="24"/>
          <w:lang w:eastAsia="ru-RU"/>
        </w:rPr>
      </w:pPr>
      <w:r w:rsidRPr="003231B6">
        <w:rPr>
          <w:szCs w:val="24"/>
          <w:lang w:eastAsia="ru-RU"/>
        </w:rPr>
        <w:t>Таблица 8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13"/>
        <w:gridCol w:w="3083"/>
      </w:tblGrid>
      <w:tr w:rsidR="00E04955" w:rsidRPr="003231B6" w:rsidTr="004730E2">
        <w:trPr>
          <w:trHeight w:val="30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b/>
                <w:kern w:val="32"/>
                <w:sz w:val="22"/>
              </w:rPr>
            </w:pPr>
            <w:r w:rsidRPr="003231B6">
              <w:rPr>
                <w:rFonts w:eastAsia="Times New Roman"/>
                <w:b/>
                <w:kern w:val="32"/>
                <w:sz w:val="22"/>
              </w:rPr>
              <w:t xml:space="preserve">№ </w:t>
            </w:r>
            <w:proofErr w:type="gramStart"/>
            <w:r w:rsidRPr="003231B6">
              <w:rPr>
                <w:rFonts w:eastAsia="Times New Roman"/>
                <w:b/>
                <w:kern w:val="32"/>
                <w:sz w:val="22"/>
              </w:rPr>
              <w:t>п</w:t>
            </w:r>
            <w:proofErr w:type="gramEnd"/>
            <w:r w:rsidRPr="003231B6">
              <w:rPr>
                <w:rFonts w:eastAsia="Times New Roman"/>
                <w:b/>
                <w:kern w:val="32"/>
                <w:sz w:val="22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b/>
                <w:color w:val="000000"/>
                <w:kern w:val="32"/>
                <w:sz w:val="22"/>
              </w:rPr>
            </w:pPr>
            <w:r w:rsidRPr="003231B6">
              <w:rPr>
                <w:rFonts w:eastAsia="Times New Roman"/>
                <w:b/>
                <w:kern w:val="32"/>
                <w:sz w:val="22"/>
              </w:rPr>
              <w:t>Наименование заболевания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b/>
                <w:kern w:val="32"/>
                <w:sz w:val="22"/>
              </w:rPr>
            </w:pPr>
            <w:r w:rsidRPr="003231B6">
              <w:rPr>
                <w:rFonts w:eastAsia="Times New Roman"/>
                <w:b/>
                <w:kern w:val="32"/>
                <w:sz w:val="22"/>
              </w:rPr>
              <w:t>Код МКБ 10</w:t>
            </w:r>
          </w:p>
        </w:tc>
      </w:tr>
      <w:tr w:rsidR="00E04955" w:rsidRPr="003231B6" w:rsidTr="004730E2">
        <w:trPr>
          <w:trHeight w:val="15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  <w:lang w:val="en-US"/>
              </w:rPr>
            </w:pPr>
            <w:r w:rsidRPr="003231B6">
              <w:rPr>
                <w:rFonts w:eastAsia="Times New Roman"/>
                <w:kern w:val="32"/>
                <w:sz w:val="22"/>
                <w:lang w:val="en-US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jc w:val="both"/>
              <w:rPr>
                <w:rFonts w:eastAsia="Times New Roman"/>
                <w:kern w:val="32"/>
                <w:sz w:val="22"/>
              </w:rPr>
            </w:pPr>
            <w:proofErr w:type="spellStart"/>
            <w:r w:rsidRPr="003231B6">
              <w:rPr>
                <w:sz w:val="22"/>
              </w:rPr>
              <w:t>Жизнеугрожающие</w:t>
            </w:r>
            <w:proofErr w:type="spellEnd"/>
            <w:r w:rsidRPr="003231B6">
              <w:rPr>
                <w:sz w:val="22"/>
              </w:rPr>
              <w:t xml:space="preserve"> и хронические прогрессирующие редкие (</w:t>
            </w:r>
            <w:proofErr w:type="spellStart"/>
            <w:r w:rsidRPr="003231B6">
              <w:rPr>
                <w:sz w:val="22"/>
              </w:rPr>
              <w:t>орфанные</w:t>
            </w:r>
            <w:proofErr w:type="spellEnd"/>
            <w:r w:rsidRPr="003231B6">
              <w:rPr>
                <w:sz w:val="22"/>
              </w:rPr>
              <w:t>) заболевания, приводящие к сокращению продолжительности жизни граждан или их инвалидности.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sz w:val="22"/>
                <w:lang w:eastAsia="ru-RU"/>
              </w:rPr>
              <w:t>Коды заболеваний в соответствии с перечнем, утвержденным Постановлением Правительства РФ от 26.04.2012 №403</w:t>
            </w:r>
            <w:r w:rsidRPr="003231B6">
              <w:rPr>
                <w:rStyle w:val="a5"/>
                <w:sz w:val="22"/>
              </w:rPr>
              <w:footnoteReference w:id="2"/>
            </w:r>
          </w:p>
        </w:tc>
      </w:tr>
      <w:tr w:rsidR="00E04955" w:rsidRPr="003231B6" w:rsidTr="004730E2">
        <w:trPr>
          <w:trHeight w:val="50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  <w:lang w:val="en-US"/>
              </w:rPr>
            </w:pPr>
            <w:r w:rsidRPr="003231B6">
              <w:rPr>
                <w:rFonts w:eastAsia="Times New Roman"/>
                <w:kern w:val="32"/>
                <w:sz w:val="22"/>
                <w:lang w:val="en-US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eastAsia="Times New Roman"/>
                <w:kern w:val="32"/>
                <w:sz w:val="22"/>
                <w:lang w:eastAsia="ru-RU"/>
              </w:rPr>
            </w:pPr>
            <w:r w:rsidRPr="003231B6">
              <w:rPr>
                <w:rFonts w:eastAsia="Times New Roman"/>
                <w:sz w:val="22"/>
                <w:lang w:eastAsia="ru-RU"/>
              </w:rPr>
              <w:t xml:space="preserve">Рассеянный склероз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sz w:val="22"/>
                <w:lang w:val="en-US" w:eastAsia="ru-RU"/>
              </w:rPr>
              <w:t>G</w:t>
            </w:r>
            <w:r w:rsidRPr="003231B6">
              <w:rPr>
                <w:rFonts w:eastAsia="Times New Roman"/>
                <w:sz w:val="22"/>
                <w:lang w:eastAsia="ru-RU"/>
              </w:rPr>
              <w:t>35</w:t>
            </w:r>
          </w:p>
        </w:tc>
      </w:tr>
      <w:tr w:rsidR="00E04955" w:rsidRPr="003231B6" w:rsidTr="004730E2">
        <w:trPr>
          <w:trHeight w:val="3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  <w:lang w:val="en-US"/>
              </w:rPr>
            </w:pPr>
            <w:r w:rsidRPr="003231B6">
              <w:rPr>
                <w:rFonts w:eastAsia="Times New Roman"/>
                <w:kern w:val="32"/>
                <w:sz w:val="22"/>
                <w:lang w:val="en-US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3231B6">
              <w:rPr>
                <w:rFonts w:eastAsia="Times New Roman"/>
                <w:sz w:val="22"/>
                <w:lang w:eastAsia="ru-RU"/>
              </w:rPr>
              <w:t xml:space="preserve">Хронический </w:t>
            </w:r>
            <w:proofErr w:type="spellStart"/>
            <w:r w:rsidRPr="003231B6">
              <w:rPr>
                <w:rFonts w:eastAsia="Times New Roman"/>
                <w:sz w:val="22"/>
                <w:lang w:eastAsia="ru-RU"/>
              </w:rPr>
              <w:t>лимфоцитарный</w:t>
            </w:r>
            <w:proofErr w:type="spellEnd"/>
            <w:r w:rsidRPr="003231B6">
              <w:rPr>
                <w:rFonts w:eastAsia="Times New Roman"/>
                <w:sz w:val="22"/>
                <w:lang w:eastAsia="ru-RU"/>
              </w:rPr>
              <w:t xml:space="preserve"> лейкоз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3231B6">
              <w:rPr>
                <w:rFonts w:eastAsia="Times New Roman"/>
                <w:sz w:val="22"/>
                <w:lang w:eastAsia="ru-RU"/>
              </w:rPr>
              <w:t>С91.1</w:t>
            </w:r>
          </w:p>
        </w:tc>
      </w:tr>
      <w:tr w:rsidR="00E04955" w:rsidRPr="003231B6" w:rsidTr="004730E2">
        <w:trPr>
          <w:trHeight w:val="6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kern w:val="32"/>
                <w:sz w:val="22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3231B6">
              <w:rPr>
                <w:rFonts w:eastAsia="Times New Roman"/>
                <w:sz w:val="22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3231B6">
              <w:rPr>
                <w:rFonts w:eastAsia="Times New Roman"/>
                <w:sz w:val="22"/>
                <w:lang w:val="en-US" w:eastAsia="ru-RU"/>
              </w:rPr>
              <w:t>Z</w:t>
            </w:r>
            <w:r w:rsidRPr="003231B6">
              <w:rPr>
                <w:rFonts w:eastAsia="Times New Roman"/>
                <w:sz w:val="22"/>
                <w:lang w:eastAsia="ru-RU"/>
              </w:rPr>
              <w:t xml:space="preserve">94.0; </w:t>
            </w:r>
            <w:r w:rsidRPr="003231B6">
              <w:rPr>
                <w:rFonts w:eastAsia="Times New Roman"/>
                <w:sz w:val="22"/>
                <w:lang w:val="en-US" w:eastAsia="ru-RU"/>
              </w:rPr>
              <w:t>Z</w:t>
            </w:r>
            <w:r w:rsidRPr="003231B6">
              <w:rPr>
                <w:rFonts w:eastAsia="Times New Roman"/>
                <w:sz w:val="22"/>
                <w:lang w:eastAsia="ru-RU"/>
              </w:rPr>
              <w:t xml:space="preserve">94.1; </w:t>
            </w:r>
            <w:r w:rsidRPr="003231B6">
              <w:rPr>
                <w:rFonts w:eastAsia="Times New Roman"/>
                <w:sz w:val="22"/>
                <w:lang w:val="en-US" w:eastAsia="ru-RU"/>
              </w:rPr>
              <w:t>Z</w:t>
            </w:r>
            <w:r w:rsidRPr="003231B6">
              <w:rPr>
                <w:rFonts w:eastAsia="Times New Roman"/>
                <w:sz w:val="22"/>
                <w:lang w:eastAsia="ru-RU"/>
              </w:rPr>
              <w:t xml:space="preserve">94.4; </w:t>
            </w:r>
            <w:r w:rsidRPr="003231B6">
              <w:rPr>
                <w:rFonts w:eastAsia="Times New Roman"/>
                <w:sz w:val="22"/>
                <w:lang w:val="en-US" w:eastAsia="ru-RU"/>
              </w:rPr>
              <w:t>Z</w:t>
            </w:r>
            <w:r w:rsidRPr="003231B6">
              <w:rPr>
                <w:rFonts w:eastAsia="Times New Roman"/>
                <w:sz w:val="22"/>
                <w:lang w:eastAsia="ru-RU"/>
              </w:rPr>
              <w:t>94.8);</w:t>
            </w:r>
          </w:p>
        </w:tc>
      </w:tr>
      <w:tr w:rsidR="00E04955" w:rsidRPr="003231B6" w:rsidTr="004730E2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kern w:val="32"/>
                <w:sz w:val="22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3231B6">
              <w:rPr>
                <w:sz w:val="22"/>
              </w:rPr>
              <w:t>Детский церебральный паралич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3231B6">
              <w:rPr>
                <w:sz w:val="22"/>
                <w:lang w:val="en-US"/>
              </w:rPr>
              <w:t>G</w:t>
            </w:r>
            <w:r w:rsidRPr="003231B6">
              <w:rPr>
                <w:sz w:val="22"/>
              </w:rPr>
              <w:t>80</w:t>
            </w:r>
          </w:p>
        </w:tc>
      </w:tr>
      <w:tr w:rsidR="00E04955" w:rsidRPr="003231B6" w:rsidTr="004730E2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kern w:val="32"/>
                <w:sz w:val="22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3231B6">
              <w:rPr>
                <w:sz w:val="22"/>
              </w:rPr>
              <w:t>ВИЧ/СПИД, стадии 4Б и 4В, взрослые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3231B6">
              <w:rPr>
                <w:sz w:val="22"/>
                <w:lang w:val="en-US"/>
              </w:rPr>
              <w:t>B</w:t>
            </w:r>
            <w:r w:rsidRPr="003231B6">
              <w:rPr>
                <w:sz w:val="22"/>
              </w:rPr>
              <w:t xml:space="preserve">20 – </w:t>
            </w:r>
            <w:r w:rsidRPr="003231B6">
              <w:rPr>
                <w:sz w:val="22"/>
                <w:lang w:val="en-US"/>
              </w:rPr>
              <w:t>B</w:t>
            </w:r>
            <w:r w:rsidRPr="003231B6">
              <w:rPr>
                <w:sz w:val="22"/>
              </w:rPr>
              <w:t>24</w:t>
            </w:r>
          </w:p>
        </w:tc>
      </w:tr>
      <w:tr w:rsidR="00E04955" w:rsidRPr="003231B6" w:rsidTr="004730E2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kern w:val="32"/>
                <w:sz w:val="22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3231B6">
              <w:rPr>
                <w:sz w:val="22"/>
              </w:rPr>
              <w:t>Перинатальный контакт по ВИЧ-инфекции, дети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3231B6">
              <w:rPr>
                <w:sz w:val="22"/>
                <w:lang w:val="en-US"/>
              </w:rPr>
              <w:t>Z</w:t>
            </w:r>
            <w:r w:rsidRPr="003231B6">
              <w:rPr>
                <w:sz w:val="22"/>
              </w:rPr>
              <w:t>20.6</w:t>
            </w:r>
          </w:p>
        </w:tc>
      </w:tr>
      <w:tr w:rsidR="00E04955" w:rsidRPr="003231B6" w:rsidTr="004730E2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kern w:val="32"/>
                <w:sz w:val="22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both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sz w:val="22"/>
                <w:lang w:eastAsia="ru-RU"/>
              </w:rPr>
              <w:t>Сахарный диабет типа 1 и 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55" w:rsidRPr="003231B6" w:rsidRDefault="00E04955" w:rsidP="003231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3231B6">
              <w:rPr>
                <w:rFonts w:eastAsia="Times New Roman"/>
                <w:kern w:val="32"/>
                <w:sz w:val="22"/>
                <w:lang w:val="en-US"/>
              </w:rPr>
              <w:t>E</w:t>
            </w:r>
            <w:r w:rsidRPr="003231B6">
              <w:rPr>
                <w:rFonts w:eastAsia="Times New Roman"/>
                <w:kern w:val="32"/>
                <w:sz w:val="22"/>
              </w:rPr>
              <w:t>10-</w:t>
            </w:r>
            <w:r w:rsidRPr="003231B6">
              <w:rPr>
                <w:rFonts w:eastAsia="Times New Roman"/>
                <w:kern w:val="32"/>
                <w:sz w:val="22"/>
                <w:lang w:val="en-US"/>
              </w:rPr>
              <w:t>E</w:t>
            </w:r>
            <w:r w:rsidRPr="003231B6">
              <w:rPr>
                <w:rFonts w:eastAsia="Times New Roman"/>
                <w:kern w:val="32"/>
                <w:sz w:val="22"/>
              </w:rPr>
              <w:t>11, О24.0,О24.1,О24.4</w:t>
            </w:r>
          </w:p>
        </w:tc>
      </w:tr>
    </w:tbl>
    <w:p w:rsidR="00E04955" w:rsidRPr="003231B6" w:rsidRDefault="00E04955" w:rsidP="003231B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E04955" w:rsidRPr="003231B6" w:rsidRDefault="00E04955" w:rsidP="003231B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12.5.1. Сахарный диабет типа 1 и 2 при следующих состояниях:</w:t>
      </w:r>
    </w:p>
    <w:p w:rsidR="00E04955" w:rsidRPr="003231B6" w:rsidRDefault="00E04955" w:rsidP="003231B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12.5.1.1. Декомпенсация сахарного диабета на фоне развития интеркуррентного заболевания, требующего проведения дополнительных лечебно-диагностических мероприятий (перевод на инсулинотерапию, проведение дополнительной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инфузионной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терапии с целью коррекции электролитных и других метаболических нарушений):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sz w:val="27"/>
          <w:szCs w:val="27"/>
        </w:rPr>
        <w:lastRenderedPageBreak/>
        <w:t>- 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гиперосомлярное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состояние (повышение уровня глюкозы &gt;35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осмолярности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крови &gt; 320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мосмоль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креатинина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>, скорректированного натрия крови);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-</w:t>
      </w:r>
      <w:r w:rsidRPr="003231B6">
        <w:rPr>
          <w:sz w:val="27"/>
          <w:szCs w:val="27"/>
        </w:rPr>
        <w:t> </w:t>
      </w:r>
      <w:r w:rsidRPr="003231B6">
        <w:rPr>
          <w:rFonts w:eastAsia="Times New Roman"/>
          <w:sz w:val="27"/>
          <w:szCs w:val="27"/>
          <w:lang w:eastAsia="ru-RU"/>
        </w:rPr>
        <w:t xml:space="preserve">гипергликемия (повышение уровня гликемии &gt; 13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>/л);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- 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кетоацидоз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(повышение уровня гликемии &gt; 13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/л у взрослых, &gt; 11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/л у детей,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гиперкетонемия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&gt; 5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кетонурия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≥++, метаболический ацидоз),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лактатацидоз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(повышение уровня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лактата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&gt; 5,0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гиперкалиемия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>, рН крови &lt;7,35);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ab/>
        <w:t xml:space="preserve">- гипогликемические состояния (снижение уровня гликемии &lt; 2,0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>/л).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12.5.1.2. Впервые выявленный сахарный диабет (с проведением стандарта обследования, подтверждающего диагноз), требующий назначения медикаментозной терапии для коррекции гликемии;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12.5.1.3. Сахарный диабет с требующими учета при назначении терапии осложнениями: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- диабетическая нефропатия ХБП С3А-С5 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- диабетическая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макроангиопатия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 (Ишемическая болезнь сердца (ИБС), цереброваскулярные заболевания)</w:t>
      </w:r>
    </w:p>
    <w:p w:rsidR="00E04955" w:rsidRPr="003231B6" w:rsidRDefault="00E04955" w:rsidP="003231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- диабетическая автономная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полинейропатия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>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12.6. Проведение сочетанных хирургических вмешательств или проведение однотипных операций на парных органах (уровень 1-уровень 5) в соответствии с Перечнем сочетанных (симультанных) хирургических вмешательств, выполняемых во время одной госпитализации, установленным Приложением № 4 к настоящему Порядку оплаты. 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Проведение однотипных операций на парных органах.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t xml:space="preserve"> </w:t>
      </w:r>
      <w:r w:rsidRPr="003231B6">
        <w:rPr>
          <w:rFonts w:eastAsia="Times New Roman"/>
          <w:sz w:val="27"/>
          <w:szCs w:val="27"/>
          <w:lang w:eastAsia="ru-RU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необходимы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Приложении № 5 к настоящему Порядку оплаты.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12.7. 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 xml:space="preserve">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12.8. 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в соответствии с клиническими рекомендациями.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1-3)» в составе случая лечения в </w:t>
      </w:r>
      <w:r w:rsidRPr="003231B6">
        <w:rPr>
          <w:rFonts w:eastAsia="Times New Roman"/>
          <w:sz w:val="27"/>
          <w:szCs w:val="27"/>
          <w:lang w:eastAsia="ru-RU"/>
        </w:rPr>
        <w:lastRenderedPageBreak/>
        <w:t>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В субъекте Российской Федерации обеспечивается учет сведений о схемах сопроводительной лекарственной терапии в рамках случая лечения, </w:t>
      </w:r>
      <w:proofErr w:type="gramStart"/>
      <w:r w:rsidRPr="003231B6">
        <w:rPr>
          <w:rFonts w:eastAsia="Times New Roman"/>
          <w:sz w:val="27"/>
          <w:szCs w:val="27"/>
          <w:lang w:eastAsia="ru-RU"/>
        </w:rPr>
        <w:t>оплата</w:t>
      </w:r>
      <w:proofErr w:type="gramEnd"/>
      <w:r w:rsidRPr="003231B6">
        <w:rPr>
          <w:rFonts w:eastAsia="Times New Roman"/>
          <w:sz w:val="27"/>
          <w:szCs w:val="27"/>
          <w:lang w:eastAsia="ru-RU"/>
        </w:rPr>
        <w:t xml:space="preserve"> которой осуществляется с использованием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1-3)», путем отражения соответствующего кода схемы в поле «CRIT» реестра счетов на оплату медицинской помощи.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Распределение схем сопроводительной лекарственной терапии по уровням КСЛП представлено в Приложении 14 к Соглашению о тарифах.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3231B6">
        <w:rPr>
          <w:rFonts w:eastAsia="Times New Roman"/>
          <w:sz w:val="27"/>
          <w:szCs w:val="27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st19.163- st19.181; в условиях дневного стационара по КСГ ds19.058-ds19.062, ds19.067- ds19.078, ds19.135-ds19.156.</w:t>
      </w:r>
      <w:proofErr w:type="gramEnd"/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филграстим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деносумаб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3231B6">
        <w:rPr>
          <w:rFonts w:eastAsia="Times New Roman"/>
          <w:sz w:val="27"/>
          <w:szCs w:val="27"/>
          <w:lang w:eastAsia="ru-RU"/>
        </w:rPr>
        <w:t>эмпэгфилграстим</w:t>
      </w:r>
      <w:proofErr w:type="spellEnd"/>
      <w:r w:rsidRPr="003231B6">
        <w:rPr>
          <w:rFonts w:eastAsia="Times New Roman"/>
          <w:sz w:val="27"/>
          <w:szCs w:val="27"/>
          <w:lang w:eastAsia="ru-RU"/>
        </w:rPr>
        <w:t>, КСЛП «Проведение сопроводительной лекарственной терапии при злокачественных новообразованиях у взрослых (уровень 1-3)» не применяются.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 xml:space="preserve">Перечень схем сопроводительной лекарственной терапии, при применении которых может быть применен КСЛП </w:t>
      </w:r>
      <w:r w:rsidRPr="003231B6">
        <w:rPr>
          <w:sz w:val="27"/>
          <w:szCs w:val="27"/>
          <w:lang w:eastAsia="ru-RU"/>
        </w:rPr>
        <w:t>(Таблица 9)</w:t>
      </w:r>
      <w:r w:rsidRPr="003231B6">
        <w:rPr>
          <w:rFonts w:eastAsia="Times New Roman"/>
          <w:sz w:val="27"/>
          <w:szCs w:val="27"/>
          <w:lang w:eastAsia="ru-RU"/>
        </w:rPr>
        <w:t>:</w:t>
      </w:r>
    </w:p>
    <w:p w:rsidR="00E04955" w:rsidRPr="003231B6" w:rsidRDefault="00E04955" w:rsidP="003231B6">
      <w:pPr>
        <w:spacing w:after="0" w:line="240" w:lineRule="auto"/>
        <w:ind w:firstLine="567"/>
        <w:jc w:val="right"/>
        <w:rPr>
          <w:szCs w:val="24"/>
          <w:lang w:eastAsia="ru-RU"/>
        </w:rPr>
      </w:pPr>
      <w:r w:rsidRPr="003231B6">
        <w:rPr>
          <w:szCs w:val="24"/>
          <w:lang w:eastAsia="ru-RU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642"/>
        <w:gridCol w:w="2693"/>
      </w:tblGrid>
      <w:tr w:rsidR="00E04955" w:rsidRPr="003231B6" w:rsidTr="004730E2">
        <w:trPr>
          <w:trHeight w:val="557"/>
          <w:tblHeader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E04955" w:rsidRPr="003231B6" w:rsidRDefault="00E04955" w:rsidP="003231B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eastAsia="Times New Roman"/>
                <w:b/>
                <w:color w:val="000000"/>
                <w:sz w:val="22"/>
                <w:szCs w:val="24"/>
              </w:rPr>
            </w:pPr>
            <w:r w:rsidRPr="003231B6">
              <w:rPr>
                <w:rFonts w:eastAsia="Times New Roman"/>
                <w:b/>
                <w:color w:val="000000"/>
                <w:sz w:val="22"/>
                <w:szCs w:val="24"/>
              </w:rPr>
              <w:t>Код схемы</w:t>
            </w:r>
          </w:p>
        </w:tc>
        <w:tc>
          <w:tcPr>
            <w:tcW w:w="5642" w:type="dxa"/>
            <w:shd w:val="clear" w:color="auto" w:fill="F2F2F2" w:themeFill="background1" w:themeFillShade="F2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b/>
                <w:color w:val="000000"/>
                <w:sz w:val="22"/>
                <w:szCs w:val="24"/>
              </w:rPr>
            </w:pPr>
            <w:r w:rsidRPr="003231B6">
              <w:rPr>
                <w:b/>
                <w:color w:val="000000"/>
                <w:sz w:val="22"/>
                <w:szCs w:val="24"/>
              </w:rPr>
              <w:t>Описание схемы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E04955" w:rsidRPr="003231B6" w:rsidRDefault="00E04955" w:rsidP="003231B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eastAsia="Times New Roman"/>
                <w:b/>
                <w:color w:val="000000"/>
                <w:sz w:val="22"/>
                <w:szCs w:val="24"/>
              </w:rPr>
            </w:pPr>
            <w:r w:rsidRPr="003231B6">
              <w:rPr>
                <w:rFonts w:eastAsia="Times New Roman"/>
                <w:b/>
                <w:color w:val="000000"/>
                <w:sz w:val="22"/>
                <w:szCs w:val="24"/>
              </w:rPr>
              <w:t>Условия применения</w:t>
            </w: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supt01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Филграстим</w:t>
            </w:r>
            <w:proofErr w:type="spellEnd"/>
            <w:r w:rsidRPr="003231B6">
              <w:rPr>
                <w:color w:val="000000"/>
                <w:sz w:val="22"/>
              </w:rPr>
              <w:t xml:space="preserve"> 4 дня введения по 300 мкг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supt02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Деносумаб</w:t>
            </w:r>
            <w:proofErr w:type="spellEnd"/>
            <w:r w:rsidRPr="003231B6">
              <w:rPr>
                <w:color w:val="000000"/>
                <w:sz w:val="22"/>
              </w:rPr>
              <w:t xml:space="preserve"> 1 день введения 120 мг</w:t>
            </w:r>
          </w:p>
        </w:tc>
        <w:tc>
          <w:tcPr>
            <w:tcW w:w="2693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gramStart"/>
            <w:r w:rsidRPr="003231B6">
              <w:rPr>
                <w:color w:val="000000"/>
                <w:sz w:val="22"/>
              </w:rPr>
              <w:t xml:space="preserve">N18.3, N18.4, N18.5 «Хроническая болезнь почки, стадия 3-5» (при клиренсе  </w:t>
            </w:r>
            <w:proofErr w:type="spellStart"/>
            <w:r w:rsidRPr="003231B6">
              <w:rPr>
                <w:color w:val="000000"/>
                <w:sz w:val="22"/>
              </w:rPr>
              <w:t>креатинина</w:t>
            </w:r>
            <w:proofErr w:type="spellEnd"/>
            <w:r w:rsidRPr="003231B6">
              <w:rPr>
                <w:color w:val="000000"/>
                <w:sz w:val="22"/>
              </w:rPr>
              <w:t xml:space="preserve"> &lt;59 мл/мин</w:t>
            </w:r>
            <w:proofErr w:type="gramEnd"/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supt03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Тоцилизумаб</w:t>
            </w:r>
            <w:proofErr w:type="spellEnd"/>
            <w:r w:rsidRPr="003231B6">
              <w:rPr>
                <w:color w:val="000000"/>
                <w:sz w:val="22"/>
              </w:rPr>
              <w:t xml:space="preserve"> 1 день введения 8 мг/кг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supt04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Филграстим</w:t>
            </w:r>
            <w:proofErr w:type="spellEnd"/>
            <w:r w:rsidRPr="003231B6">
              <w:rPr>
                <w:color w:val="000000"/>
                <w:sz w:val="22"/>
              </w:rPr>
              <w:t xml:space="preserve"> 8 дней введения по 300 мкг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supt05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Эмпэгфилграстим</w:t>
            </w:r>
            <w:proofErr w:type="spellEnd"/>
            <w:r w:rsidRPr="003231B6">
              <w:rPr>
                <w:color w:val="000000"/>
                <w:sz w:val="22"/>
              </w:rPr>
              <w:t xml:space="preserve"> 1 день введения 7,5 мг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supt06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Филграстим</w:t>
            </w:r>
            <w:proofErr w:type="spellEnd"/>
            <w:r w:rsidRPr="003231B6">
              <w:rPr>
                <w:color w:val="000000"/>
                <w:sz w:val="22"/>
              </w:rPr>
              <w:t xml:space="preserve"> 10 дней введения по 300 мкг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supt07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Микофенолата</w:t>
            </w:r>
            <w:proofErr w:type="spellEnd"/>
            <w:r w:rsidRPr="003231B6">
              <w:rPr>
                <w:color w:val="000000"/>
                <w:sz w:val="22"/>
              </w:rPr>
              <w:t xml:space="preserve"> </w:t>
            </w:r>
            <w:proofErr w:type="spellStart"/>
            <w:r w:rsidRPr="003231B6">
              <w:rPr>
                <w:color w:val="000000"/>
                <w:sz w:val="22"/>
              </w:rPr>
              <w:t>мофетил</w:t>
            </w:r>
            <w:proofErr w:type="spellEnd"/>
            <w:r w:rsidRPr="003231B6">
              <w:rPr>
                <w:color w:val="000000"/>
                <w:sz w:val="22"/>
              </w:rPr>
              <w:t xml:space="preserve"> 30 дней введения по 1000 мг 2 раза в день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supt08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Такролимус</w:t>
            </w:r>
            <w:proofErr w:type="spellEnd"/>
            <w:r w:rsidRPr="003231B6">
              <w:rPr>
                <w:color w:val="000000"/>
                <w:sz w:val="22"/>
              </w:rPr>
              <w:t xml:space="preserve"> 30 дней введения по 0,1 мг/кг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supt09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Ведолизумаб</w:t>
            </w:r>
            <w:proofErr w:type="spellEnd"/>
            <w:r w:rsidRPr="003231B6">
              <w:rPr>
                <w:color w:val="000000"/>
                <w:sz w:val="22"/>
              </w:rPr>
              <w:t xml:space="preserve"> 1 день введения 300 мг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supt10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3231B6">
              <w:rPr>
                <w:color w:val="000000"/>
                <w:sz w:val="22"/>
              </w:rPr>
              <w:t>Инфликсимаб</w:t>
            </w:r>
            <w:proofErr w:type="spellEnd"/>
            <w:r w:rsidRPr="003231B6">
              <w:rPr>
                <w:color w:val="000000"/>
                <w:sz w:val="22"/>
              </w:rPr>
              <w:t xml:space="preserve"> 1 день введения 5 мг/кг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lastRenderedPageBreak/>
              <w:t>supt11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r w:rsidRPr="003231B6">
              <w:rPr>
                <w:color w:val="000000"/>
                <w:sz w:val="22"/>
              </w:rPr>
              <w:t>Иммуноглобулин человека нормальный 5 дней введения по 400 мг/кг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E04955" w:rsidRPr="003231B6" w:rsidTr="004730E2">
        <w:tc>
          <w:tcPr>
            <w:tcW w:w="1129" w:type="dxa"/>
            <w:vAlign w:val="center"/>
          </w:tcPr>
          <w:p w:rsidR="00E04955" w:rsidRPr="003231B6" w:rsidRDefault="00E04955" w:rsidP="003231B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3231B6">
              <w:rPr>
                <w:rFonts w:eastAsia="Times New Roman"/>
                <w:color w:val="000000"/>
                <w:sz w:val="22"/>
              </w:rPr>
              <w:t>supt12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E04955" w:rsidRPr="003231B6" w:rsidRDefault="00E04955" w:rsidP="003231B6">
            <w:pPr>
              <w:spacing w:after="160" w:line="259" w:lineRule="auto"/>
              <w:rPr>
                <w:color w:val="000000"/>
                <w:sz w:val="22"/>
              </w:rPr>
            </w:pPr>
            <w:r w:rsidRPr="003231B6">
              <w:rPr>
                <w:color w:val="000000"/>
                <w:sz w:val="22"/>
              </w:rPr>
              <w:t>Иммуноглобулин антитимоцитарный 3-5 дней введения по 1,5-5 мг/кг</w:t>
            </w:r>
          </w:p>
        </w:tc>
        <w:tc>
          <w:tcPr>
            <w:tcW w:w="2693" w:type="dxa"/>
          </w:tcPr>
          <w:p w:rsidR="00E04955" w:rsidRPr="003231B6" w:rsidRDefault="00E04955" w:rsidP="003231B6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</w:tbl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  <w:r w:rsidRPr="003231B6">
        <w:rPr>
          <w:color w:val="000000" w:themeColor="text1"/>
          <w:sz w:val="27"/>
          <w:szCs w:val="27"/>
        </w:rPr>
        <w:t>12.9. КСЛП при проведении тестирования на выявление респираторных вирусных заболеваний (гриппа, новой коронавирусной инфекции COVID-19) в период госпитализации.</w:t>
      </w:r>
    </w:p>
    <w:p w:rsidR="00E04955" w:rsidRPr="003231B6" w:rsidRDefault="00E04955" w:rsidP="0032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3231B6">
        <w:rPr>
          <w:rFonts w:eastAsia="Times New Roman"/>
          <w:sz w:val="27"/>
          <w:szCs w:val="27"/>
          <w:lang w:eastAsia="ru-RU"/>
        </w:rPr>
        <w:t>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E04955" w:rsidRPr="003231B6" w:rsidRDefault="00E04955" w:rsidP="003231B6">
      <w:pPr>
        <w:spacing w:after="0" w:line="240" w:lineRule="auto"/>
        <w:ind w:firstLine="709"/>
        <w:jc w:val="both"/>
        <w:rPr>
          <w:rFonts w:eastAsiaTheme="minorHAnsi"/>
          <w:sz w:val="27"/>
          <w:szCs w:val="27"/>
        </w:rPr>
      </w:pPr>
      <w:proofErr w:type="gramStart"/>
      <w:r w:rsidRPr="003231B6">
        <w:rPr>
          <w:sz w:val="27"/>
          <w:szCs w:val="27"/>
        </w:rPr>
        <w:t>КСЛП применяется при проведении в период оказания медицинской помощи в стационарных условиях тестирования на наличие вирусов респираторных инфекций, включая вирус гриппа (любым из методов), и (или) новой коронавирусной инфекции (COVID-19) методом ПЦР, в случае наличия у пациента признаков острого простудного заболевания неясной этиологии и при появлении симптомов, не исключающих наличие респираторной вирусной инфекции, включая грипп, новой коронавирусной инфекции (COVID-19), с</w:t>
      </w:r>
      <w:proofErr w:type="gramEnd"/>
      <w:r w:rsidRPr="003231B6">
        <w:rPr>
          <w:sz w:val="27"/>
          <w:szCs w:val="27"/>
        </w:rPr>
        <w:t xml:space="preserve"> оформлением в соответствующей медицинской документации обоснования для проведения указанных исследований.</w:t>
      </w:r>
    </w:p>
    <w:p w:rsidR="00E04955" w:rsidRPr="00952D8F" w:rsidRDefault="00E04955" w:rsidP="003231B6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bookmarkStart w:id="1" w:name="Par0"/>
      <w:bookmarkEnd w:id="1"/>
      <w:r w:rsidRPr="003231B6">
        <w:rPr>
          <w:rFonts w:eastAsia="Times New Roman"/>
          <w:sz w:val="27"/>
          <w:szCs w:val="27"/>
          <w:lang w:eastAsia="ru-RU"/>
        </w:rPr>
        <w:t>Все случаи с применением КСЛП подлежат тематической ЭКМП и (или) внеплановой тематической экспертизе целевого использования средств ОМС.</w:t>
      </w:r>
    </w:p>
    <w:p w:rsidR="00E04955" w:rsidRPr="00492B44" w:rsidRDefault="00E04955" w:rsidP="003231B6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90122A" w:rsidRDefault="0090122A" w:rsidP="003231B6"/>
    <w:sectPr w:rsidR="0090122A" w:rsidSect="00785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955" w:rsidRDefault="00E04955" w:rsidP="00E04955">
      <w:pPr>
        <w:spacing w:after="0" w:line="240" w:lineRule="auto"/>
      </w:pPr>
      <w:r>
        <w:separator/>
      </w:r>
    </w:p>
  </w:endnote>
  <w:endnote w:type="continuationSeparator" w:id="0">
    <w:p w:rsidR="00E04955" w:rsidRDefault="00E04955" w:rsidP="00E0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955" w:rsidRDefault="00E04955" w:rsidP="00E04955">
      <w:pPr>
        <w:spacing w:after="0" w:line="240" w:lineRule="auto"/>
      </w:pPr>
      <w:r>
        <w:separator/>
      </w:r>
    </w:p>
  </w:footnote>
  <w:footnote w:type="continuationSeparator" w:id="0">
    <w:p w:rsidR="00E04955" w:rsidRDefault="00E04955" w:rsidP="00E04955">
      <w:pPr>
        <w:spacing w:after="0" w:line="240" w:lineRule="auto"/>
      </w:pPr>
      <w:r>
        <w:continuationSeparator/>
      </w:r>
    </w:p>
  </w:footnote>
  <w:footnote w:id="1">
    <w:p w:rsidR="00E04955" w:rsidRDefault="00E04955" w:rsidP="00E0495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0"/>
          <w:szCs w:val="20"/>
        </w:rPr>
        <w:t>Приказ Минздрава России от 05.08.2003 N 330 (ред. от 19.02.2024) "О мерах по совершенствованию лечебного питания в лечебно-профилактических учреждениях Российской Федерации".</w:t>
      </w:r>
    </w:p>
  </w:footnote>
  <w:footnote w:id="2">
    <w:p w:rsidR="00E04955" w:rsidRPr="00D07B59" w:rsidRDefault="00E04955" w:rsidP="00E049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>
        <w:rPr>
          <w:rStyle w:val="a5"/>
        </w:rPr>
        <w:footnoteRef/>
      </w:r>
      <w:r>
        <w:t xml:space="preserve"> </w:t>
      </w:r>
      <w:r w:rsidRPr="00D07B59">
        <w:rPr>
          <w:rFonts w:eastAsia="Times New Roman"/>
          <w:sz w:val="20"/>
          <w:szCs w:val="20"/>
          <w:lang w:eastAsia="ru-RU"/>
        </w:rPr>
        <w:t xml:space="preserve">Постановление Правительства РФ от 26.04.2012 N 403 (ред. от 05.06.2020) "О порядке ведения Федерального регистра лиц, страдающих 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жизнеугрожающими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 xml:space="preserve"> и хроническими прогрессирующими редкими (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орфанными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>) заболеваниями, приводящими к сокращению продолжительности жизни граждан или их инвалидности, и его регионального сегмента"</w:t>
      </w:r>
      <w:r>
        <w:rPr>
          <w:rFonts w:eastAsia="Times New Roman"/>
          <w:sz w:val="20"/>
          <w:szCs w:val="20"/>
          <w:lang w:eastAsia="ru-RU"/>
        </w:rPr>
        <w:t>.</w:t>
      </w:r>
    </w:p>
    <w:p w:rsidR="00E04955" w:rsidRDefault="00E04955" w:rsidP="00E0495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55"/>
    <w:rsid w:val="003231B6"/>
    <w:rsid w:val="00785297"/>
    <w:rsid w:val="0090122A"/>
    <w:rsid w:val="00E0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55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9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rsid w:val="00E0495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E04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049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55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9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rsid w:val="00E0495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E04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049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3</cp:revision>
  <dcterms:created xsi:type="dcterms:W3CDTF">2025-02-06T06:42:00Z</dcterms:created>
  <dcterms:modified xsi:type="dcterms:W3CDTF">2025-02-10T00:08:00Z</dcterms:modified>
</cp:coreProperties>
</file>